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F14" w:rsidRPr="00330625" w:rsidRDefault="00504127" w:rsidP="005B3F14">
      <w:pPr>
        <w:rPr>
          <w:rFonts w:ascii="Times New Roman" w:hAnsi="Times New Roman" w:cs="Times New Roman"/>
          <w:b/>
          <w:noProof/>
          <w:sz w:val="36"/>
        </w:rPr>
      </w:pPr>
      <w:r w:rsidRPr="00330625">
        <w:rPr>
          <w:rFonts w:ascii="Times New Roman" w:hAnsi="Times New Roman" w:cs="Times New Roman"/>
          <w:b/>
          <w:noProof/>
          <w:sz w:val="36"/>
        </w:rPr>
        <w:t>Supplimenary F</w:t>
      </w:r>
      <w:r w:rsidR="00330625" w:rsidRPr="00330625">
        <w:rPr>
          <w:rFonts w:ascii="Times New Roman" w:hAnsi="Times New Roman" w:cs="Times New Roman"/>
          <w:b/>
          <w:noProof/>
          <w:sz w:val="36"/>
        </w:rPr>
        <w:t>igures</w:t>
      </w:r>
    </w:p>
    <w:p w:rsidR="00C3662D" w:rsidRPr="00330625" w:rsidRDefault="004F6FC3" w:rsidP="00330625">
      <w:pPr>
        <w:pStyle w:val="MDPI-FigureCaption"/>
        <w:rPr>
          <w:noProof/>
        </w:rPr>
      </w:pPr>
      <w:r w:rsidRPr="00330625">
        <w:rPr>
          <w:b/>
          <w:noProof/>
        </w:rPr>
        <w:t xml:space="preserve">Supplimenary Figure </w:t>
      </w:r>
      <w:r w:rsidR="009C6804" w:rsidRPr="00330625">
        <w:rPr>
          <w:b/>
          <w:noProof/>
        </w:rPr>
        <w:t>S</w:t>
      </w:r>
      <w:r w:rsidRPr="009F4B79">
        <w:rPr>
          <w:b/>
          <w:noProof/>
        </w:rPr>
        <w:t>1</w:t>
      </w:r>
      <w:r w:rsidR="009F4B79" w:rsidRPr="009F4B79">
        <w:rPr>
          <w:b/>
          <w:noProof/>
        </w:rPr>
        <w:t>.</w:t>
      </w:r>
      <w:r w:rsidR="003F689B" w:rsidRPr="00330625">
        <w:rPr>
          <w:noProof/>
        </w:rPr>
        <w:t xml:space="preserve"> The error rate of TE-Locate in pericentromeric regions. </w:t>
      </w:r>
      <w:r w:rsidR="002D4C65" w:rsidRPr="00330625">
        <w:t xml:space="preserve">The </w:t>
      </w:r>
      <w:proofErr w:type="spellStart"/>
      <w:r w:rsidR="002D4C65" w:rsidRPr="00330625">
        <w:t>X</w:t>
      </w:r>
      <w:r w:rsidR="00913731">
        <w:noBreakHyphen/>
      </w:r>
      <w:r w:rsidR="002D4C65" w:rsidRPr="00330625">
        <w:t>axis</w:t>
      </w:r>
      <w:proofErr w:type="spellEnd"/>
      <w:r w:rsidR="002D4C65" w:rsidRPr="00330625">
        <w:t xml:space="preserve"> denotes different insert sizes; the Y-axis denotes different read length; the concentric circles denote different coverage: from inner to outer circles, the </w:t>
      </w:r>
      <w:proofErr w:type="spellStart"/>
      <w:r w:rsidR="002D4C65" w:rsidRPr="00330625">
        <w:t>coverages</w:t>
      </w:r>
      <w:proofErr w:type="spellEnd"/>
      <w:r w:rsidR="002D4C65" w:rsidRPr="00330625">
        <w:t xml:space="preserve"> are 2</w:t>
      </w:r>
      <w:r w:rsidR="009118F2">
        <w:t>×</w:t>
      </w:r>
      <w:r w:rsidR="002D4C65" w:rsidRPr="00330625">
        <w:t>, 5</w:t>
      </w:r>
      <w:r w:rsidR="009118F2">
        <w:t>×</w:t>
      </w:r>
      <w:r w:rsidR="002D4C65" w:rsidRPr="00330625">
        <w:t>, 10</w:t>
      </w:r>
      <w:r w:rsidR="009118F2">
        <w:t>×</w:t>
      </w:r>
      <w:r w:rsidR="002D4C65" w:rsidRPr="00330625">
        <w:t xml:space="preserve"> and 20</w:t>
      </w:r>
      <w:r w:rsidR="009118F2">
        <w:t>×</w:t>
      </w:r>
      <w:r w:rsidR="002D4C65" w:rsidRPr="00330625">
        <w:t xml:space="preserve"> respectively. The red, orange, and green colors denote the proportion of false positives, false negatives and the rest. Here the false positive is defined as the ratio between false calls and all calls, the false negative is defined as the ratio between missing calls and all TEs inserted.</w:t>
      </w:r>
    </w:p>
    <w:p w:rsidR="00F64334" w:rsidRPr="00330625" w:rsidRDefault="00C3662D" w:rsidP="003F0715">
      <w:pPr>
        <w:jc w:val="center"/>
      </w:pPr>
      <w:r w:rsidRPr="00330625">
        <w:rPr>
          <w:noProof/>
          <w:lang w:eastAsia="zh-CN"/>
        </w:rPr>
        <w:drawing>
          <wp:inline distT="0" distB="0" distL="0" distR="0">
            <wp:extent cx="5266055" cy="6078855"/>
            <wp:effectExtent l="25400" t="0" r="0" b="0"/>
            <wp:docPr id="1" name="Picture 1" descr="mirror:Users:quan.long:Documents:Writting:Manuscripts:TE_locate:forReviewAlex:validation:TE-Locate_p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rror:Users:quan.long:Documents:Writting:Manuscripts:TE_locate:forReviewAlex:validation:TE-Locate_peri.png"/>
                    <pic:cNvPicPr>
                      <a:picLocks noChangeAspect="1" noChangeArrowheads="1"/>
                    </pic:cNvPicPr>
                  </pic:nvPicPr>
                  <pic:blipFill>
                    <a:blip r:embed="rId5" cstate="print"/>
                    <a:srcRect/>
                    <a:stretch>
                      <a:fillRect/>
                    </a:stretch>
                  </pic:blipFill>
                  <pic:spPr bwMode="auto">
                    <a:xfrm>
                      <a:off x="0" y="0"/>
                      <a:ext cx="5266055" cy="6078855"/>
                    </a:xfrm>
                    <a:prstGeom prst="rect">
                      <a:avLst/>
                    </a:prstGeom>
                    <a:noFill/>
                    <a:ln w="9525">
                      <a:noFill/>
                      <a:miter lim="800000"/>
                      <a:headEnd/>
                      <a:tailEnd/>
                    </a:ln>
                  </pic:spPr>
                </pic:pic>
              </a:graphicData>
            </a:graphic>
          </wp:inline>
        </w:drawing>
      </w:r>
    </w:p>
    <w:p w:rsidR="002D4C65" w:rsidRPr="00330625" w:rsidRDefault="00F52552" w:rsidP="003F0715">
      <w:pPr>
        <w:pStyle w:val="MDPI-FigureCaption"/>
        <w:rPr>
          <w:noProof/>
        </w:rPr>
      </w:pPr>
      <w:r w:rsidRPr="00330625">
        <w:rPr>
          <w:noProof/>
        </w:rPr>
        <w:br w:type="page"/>
      </w:r>
      <w:r w:rsidR="00F64334" w:rsidRPr="00330625">
        <w:rPr>
          <w:b/>
          <w:noProof/>
        </w:rPr>
        <w:lastRenderedPageBreak/>
        <w:t xml:space="preserve">Supplimenary Figure </w:t>
      </w:r>
      <w:r w:rsidR="009C6804" w:rsidRPr="00330625">
        <w:rPr>
          <w:b/>
          <w:noProof/>
        </w:rPr>
        <w:t>S</w:t>
      </w:r>
      <w:r w:rsidR="00F64334" w:rsidRPr="00330625">
        <w:rPr>
          <w:b/>
          <w:noProof/>
        </w:rPr>
        <w:t>2</w:t>
      </w:r>
      <w:r w:rsidR="003F0715" w:rsidRPr="003F0715">
        <w:rPr>
          <w:b/>
          <w:noProof/>
        </w:rPr>
        <w:t>.</w:t>
      </w:r>
      <w:r w:rsidR="00F64334" w:rsidRPr="00330625">
        <w:rPr>
          <w:noProof/>
        </w:rPr>
        <w:t xml:space="preserve"> The error rate of </w:t>
      </w:r>
      <w:r w:rsidR="00573338" w:rsidRPr="00330625">
        <w:rPr>
          <w:noProof/>
        </w:rPr>
        <w:t>BreakDancer</w:t>
      </w:r>
      <w:r w:rsidR="00F64334" w:rsidRPr="00330625">
        <w:rPr>
          <w:noProof/>
        </w:rPr>
        <w:t xml:space="preserve"> in </w:t>
      </w:r>
      <w:r w:rsidR="000B5679" w:rsidRPr="00330625">
        <w:rPr>
          <w:noProof/>
        </w:rPr>
        <w:t>chromosomal arm</w:t>
      </w:r>
      <w:r w:rsidR="00F64334" w:rsidRPr="00330625">
        <w:rPr>
          <w:noProof/>
        </w:rPr>
        <w:t xml:space="preserve"> regions</w:t>
      </w:r>
      <w:r w:rsidR="00CB5113" w:rsidRPr="00330625">
        <w:rPr>
          <w:noProof/>
        </w:rPr>
        <w:t>.</w:t>
      </w:r>
      <w:r w:rsidR="002D4C65" w:rsidRPr="00330625">
        <w:t xml:space="preserve"> The X-axis denotes different insert sizes; the Y-axis denotes different read length; the concentric circles denote different coverage: from inner to outer circles, the </w:t>
      </w:r>
      <w:proofErr w:type="spellStart"/>
      <w:r w:rsidR="002D4C65" w:rsidRPr="00330625">
        <w:t>coverages</w:t>
      </w:r>
      <w:proofErr w:type="spellEnd"/>
      <w:r w:rsidR="002D4C65" w:rsidRPr="00330625">
        <w:t xml:space="preserve"> are </w:t>
      </w:r>
      <w:r w:rsidR="003F0715" w:rsidRPr="00330625">
        <w:t>2</w:t>
      </w:r>
      <w:r w:rsidR="003F0715">
        <w:t>×</w:t>
      </w:r>
      <w:r w:rsidR="003F0715" w:rsidRPr="00330625">
        <w:t>, 5</w:t>
      </w:r>
      <w:r w:rsidR="003F0715">
        <w:t>×</w:t>
      </w:r>
      <w:r w:rsidR="003F0715" w:rsidRPr="00330625">
        <w:t>, 10</w:t>
      </w:r>
      <w:r w:rsidR="003F0715">
        <w:t>×</w:t>
      </w:r>
      <w:r w:rsidR="003F0715" w:rsidRPr="00330625">
        <w:t xml:space="preserve"> and 20</w:t>
      </w:r>
      <w:r w:rsidR="003F0715">
        <w:t>×</w:t>
      </w:r>
      <w:r w:rsidR="003F0715" w:rsidRPr="00330625">
        <w:t xml:space="preserve"> </w:t>
      </w:r>
      <w:r w:rsidR="002D4C65" w:rsidRPr="00330625">
        <w:t>respectively. The red, orange, and green colors denote the proportion of false positives, false negatives and the rest. Here the false positive is defined as the ratio between false calls and all calls, the false negative is defined as the ratio between missing calls and all TEs inserted.</w:t>
      </w:r>
    </w:p>
    <w:p w:rsidR="009A369A" w:rsidRPr="00330625" w:rsidRDefault="009A369A" w:rsidP="000A180E">
      <w:pPr>
        <w:jc w:val="center"/>
        <w:rPr>
          <w:noProof/>
        </w:rPr>
      </w:pPr>
      <w:r w:rsidRPr="00330625">
        <w:rPr>
          <w:noProof/>
          <w:lang w:eastAsia="zh-CN"/>
        </w:rPr>
        <w:drawing>
          <wp:inline distT="0" distB="0" distL="0" distR="0">
            <wp:extent cx="5266055" cy="6078855"/>
            <wp:effectExtent l="25400" t="0" r="0" b="0"/>
            <wp:docPr id="5" name="Picture 4" descr=":forReviewAlex:validation:breakdancer_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ReviewAlex:validation:breakdancer_arm.png"/>
                    <pic:cNvPicPr>
                      <a:picLocks noChangeAspect="1" noChangeArrowheads="1"/>
                    </pic:cNvPicPr>
                  </pic:nvPicPr>
                  <pic:blipFill>
                    <a:blip r:embed="rId6" cstate="print"/>
                    <a:srcRect/>
                    <a:stretch>
                      <a:fillRect/>
                    </a:stretch>
                  </pic:blipFill>
                  <pic:spPr bwMode="auto">
                    <a:xfrm>
                      <a:off x="0" y="0"/>
                      <a:ext cx="5266055" cy="6078855"/>
                    </a:xfrm>
                    <a:prstGeom prst="rect">
                      <a:avLst/>
                    </a:prstGeom>
                    <a:noFill/>
                    <a:ln w="9525">
                      <a:noFill/>
                      <a:miter lim="800000"/>
                      <a:headEnd/>
                      <a:tailEnd/>
                    </a:ln>
                  </pic:spPr>
                </pic:pic>
              </a:graphicData>
            </a:graphic>
          </wp:inline>
        </w:drawing>
      </w:r>
    </w:p>
    <w:p w:rsidR="00CB5113" w:rsidRPr="00330625" w:rsidRDefault="009A369A" w:rsidP="00727CF2">
      <w:pPr>
        <w:pStyle w:val="MDPI-FigureCaption"/>
        <w:spacing w:before="0"/>
        <w:rPr>
          <w:noProof/>
        </w:rPr>
      </w:pPr>
      <w:r w:rsidRPr="00330625">
        <w:rPr>
          <w:noProof/>
        </w:rPr>
        <w:br w:type="page"/>
      </w:r>
      <w:r w:rsidR="00E60F5B" w:rsidRPr="00330625">
        <w:rPr>
          <w:b/>
          <w:noProof/>
        </w:rPr>
        <w:t xml:space="preserve">Supplimenary Figure </w:t>
      </w:r>
      <w:r w:rsidR="009C6804" w:rsidRPr="00330625">
        <w:rPr>
          <w:b/>
          <w:noProof/>
        </w:rPr>
        <w:t>S</w:t>
      </w:r>
      <w:r w:rsidR="00E60F5B" w:rsidRPr="00330625">
        <w:rPr>
          <w:b/>
          <w:noProof/>
        </w:rPr>
        <w:t>3</w:t>
      </w:r>
      <w:r w:rsidR="00727CF2" w:rsidRPr="00727CF2">
        <w:rPr>
          <w:b/>
          <w:noProof/>
        </w:rPr>
        <w:t>.</w:t>
      </w:r>
      <w:r w:rsidR="00E60F5B" w:rsidRPr="00330625">
        <w:rPr>
          <w:noProof/>
        </w:rPr>
        <w:t xml:space="preserve"> The error rate of BreakDancer in pericentromeric regions. </w:t>
      </w:r>
      <w:r w:rsidR="00CB5113" w:rsidRPr="00330625">
        <w:t xml:space="preserve">The X-axis denotes different insert sizes; the Y-axis denotes different read length; the concentric circles denote different coverage: from inner to outer circles, the </w:t>
      </w:r>
      <w:proofErr w:type="spellStart"/>
      <w:r w:rsidR="00CB5113" w:rsidRPr="00330625">
        <w:t>coverages</w:t>
      </w:r>
      <w:proofErr w:type="spellEnd"/>
      <w:r w:rsidR="00CB5113" w:rsidRPr="00330625">
        <w:t xml:space="preserve"> are </w:t>
      </w:r>
      <w:r w:rsidR="000175FD" w:rsidRPr="00330625">
        <w:t>2</w:t>
      </w:r>
      <w:r w:rsidR="000175FD">
        <w:t>×</w:t>
      </w:r>
      <w:r w:rsidR="000175FD" w:rsidRPr="00330625">
        <w:t>, 5</w:t>
      </w:r>
      <w:r w:rsidR="000175FD">
        <w:t>×</w:t>
      </w:r>
      <w:r w:rsidR="000175FD" w:rsidRPr="00330625">
        <w:t>, 10</w:t>
      </w:r>
      <w:r w:rsidR="000175FD">
        <w:t>×</w:t>
      </w:r>
      <w:r w:rsidR="000175FD" w:rsidRPr="00330625">
        <w:t xml:space="preserve"> and 20</w:t>
      </w:r>
      <w:r w:rsidR="000175FD">
        <w:t>×</w:t>
      </w:r>
      <w:r w:rsidR="000175FD" w:rsidRPr="00330625">
        <w:t xml:space="preserve"> </w:t>
      </w:r>
      <w:r w:rsidR="00CB5113" w:rsidRPr="00330625">
        <w:t>respectively. The red, orange, and green colors denote the proportion of false positives, false negatives and the rest. Here the false positive is defined as the ratio between false calls and all calls, the false negative is defined as the ratio between missing calls and all TEs inserted.</w:t>
      </w:r>
    </w:p>
    <w:p w:rsidR="00E749D2" w:rsidRPr="00330625" w:rsidRDefault="009A369A" w:rsidP="008A62F3">
      <w:pPr>
        <w:jc w:val="center"/>
      </w:pPr>
      <w:r w:rsidRPr="00330625">
        <w:rPr>
          <w:noProof/>
          <w:lang w:eastAsia="zh-CN"/>
        </w:rPr>
        <w:drawing>
          <wp:inline distT="0" distB="0" distL="0" distR="0">
            <wp:extent cx="5266055" cy="6078855"/>
            <wp:effectExtent l="25400" t="0" r="0" b="0"/>
            <wp:docPr id="6" name="Picture 5" descr=":forReviewAlex:validation:breakdancer_p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ReviewAlex:validation:breakdancer_peri.png"/>
                    <pic:cNvPicPr>
                      <a:picLocks noChangeAspect="1" noChangeArrowheads="1"/>
                    </pic:cNvPicPr>
                  </pic:nvPicPr>
                  <pic:blipFill>
                    <a:blip r:embed="rId7" cstate="print"/>
                    <a:srcRect/>
                    <a:stretch>
                      <a:fillRect/>
                    </a:stretch>
                  </pic:blipFill>
                  <pic:spPr bwMode="auto">
                    <a:xfrm>
                      <a:off x="0" y="0"/>
                      <a:ext cx="5266055" cy="6078855"/>
                    </a:xfrm>
                    <a:prstGeom prst="rect">
                      <a:avLst/>
                    </a:prstGeom>
                    <a:noFill/>
                    <a:ln w="9525">
                      <a:noFill/>
                      <a:miter lim="800000"/>
                      <a:headEnd/>
                      <a:tailEnd/>
                    </a:ln>
                  </pic:spPr>
                </pic:pic>
              </a:graphicData>
            </a:graphic>
          </wp:inline>
        </w:drawing>
      </w:r>
    </w:p>
    <w:sectPr w:rsidR="00E749D2" w:rsidRPr="00330625" w:rsidSect="00330625">
      <w:pgSz w:w="11909" w:h="16834" w:code="9"/>
      <w:pgMar w:top="994" w:right="994" w:bottom="994" w:left="994" w:header="850" w:footer="562" w:gutter="0"/>
      <w:cols w:space="708"/>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D037F4"/>
    <w:lvl w:ilvl="0">
      <w:start w:val="1"/>
      <w:numFmt w:val="decimal"/>
      <w:lvlText w:val="%1."/>
      <w:lvlJc w:val="left"/>
      <w:pPr>
        <w:tabs>
          <w:tab w:val="num" w:pos="1800"/>
        </w:tabs>
        <w:ind w:left="1800" w:hanging="360"/>
      </w:pPr>
    </w:lvl>
  </w:abstractNum>
  <w:abstractNum w:abstractNumId="1">
    <w:nsid w:val="FFFFFF7D"/>
    <w:multiLevelType w:val="singleLevel"/>
    <w:tmpl w:val="71BC9386"/>
    <w:lvl w:ilvl="0">
      <w:start w:val="1"/>
      <w:numFmt w:val="decimal"/>
      <w:lvlText w:val="%1."/>
      <w:lvlJc w:val="left"/>
      <w:pPr>
        <w:tabs>
          <w:tab w:val="num" w:pos="1440"/>
        </w:tabs>
        <w:ind w:left="1440" w:hanging="360"/>
      </w:pPr>
    </w:lvl>
  </w:abstractNum>
  <w:abstractNum w:abstractNumId="2">
    <w:nsid w:val="FFFFFF7E"/>
    <w:multiLevelType w:val="singleLevel"/>
    <w:tmpl w:val="CB5AD0B0"/>
    <w:lvl w:ilvl="0">
      <w:start w:val="1"/>
      <w:numFmt w:val="decimal"/>
      <w:lvlText w:val="%1."/>
      <w:lvlJc w:val="left"/>
      <w:pPr>
        <w:tabs>
          <w:tab w:val="num" w:pos="1080"/>
        </w:tabs>
        <w:ind w:left="1080" w:hanging="360"/>
      </w:pPr>
    </w:lvl>
  </w:abstractNum>
  <w:abstractNum w:abstractNumId="3">
    <w:nsid w:val="FFFFFF7F"/>
    <w:multiLevelType w:val="singleLevel"/>
    <w:tmpl w:val="94ACF77A"/>
    <w:lvl w:ilvl="0">
      <w:start w:val="1"/>
      <w:numFmt w:val="decimal"/>
      <w:lvlText w:val="%1."/>
      <w:lvlJc w:val="left"/>
      <w:pPr>
        <w:tabs>
          <w:tab w:val="num" w:pos="720"/>
        </w:tabs>
        <w:ind w:left="720" w:hanging="360"/>
      </w:pPr>
    </w:lvl>
  </w:abstractNum>
  <w:abstractNum w:abstractNumId="4">
    <w:nsid w:val="FFFFFF80"/>
    <w:multiLevelType w:val="singleLevel"/>
    <w:tmpl w:val="9F785F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CE82A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F82F9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65AD0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282C66"/>
    <w:lvl w:ilvl="0">
      <w:start w:val="1"/>
      <w:numFmt w:val="decimal"/>
      <w:lvlText w:val="%1."/>
      <w:lvlJc w:val="left"/>
      <w:pPr>
        <w:tabs>
          <w:tab w:val="num" w:pos="360"/>
        </w:tabs>
        <w:ind w:left="360" w:hanging="360"/>
      </w:pPr>
    </w:lvl>
  </w:abstractNum>
  <w:num w:numId="1">
    <w:abstractNumId w:val="1"/>
  </w:num>
  <w:num w:numId="2">
    <w:abstractNumId w:val="0"/>
  </w:num>
  <w:num w:numId="3">
    <w:abstractNumId w:val="3"/>
  </w:num>
  <w:num w:numId="4">
    <w:abstractNumId w:val="2"/>
  </w:num>
  <w:num w:numId="5">
    <w:abstractNumId w:val="8"/>
  </w:num>
  <w:num w:numId="6">
    <w:abstractNumId w:val="4"/>
  </w:num>
  <w:num w:numId="7">
    <w:abstractNumId w:val="5"/>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C3662D"/>
    <w:rsid w:val="000175FD"/>
    <w:rsid w:val="000A180E"/>
    <w:rsid w:val="000B5679"/>
    <w:rsid w:val="002D4C65"/>
    <w:rsid w:val="00330625"/>
    <w:rsid w:val="003F0715"/>
    <w:rsid w:val="003F689B"/>
    <w:rsid w:val="004616D9"/>
    <w:rsid w:val="004F6FC3"/>
    <w:rsid w:val="00504127"/>
    <w:rsid w:val="00515D13"/>
    <w:rsid w:val="00573338"/>
    <w:rsid w:val="005746BE"/>
    <w:rsid w:val="005B3F14"/>
    <w:rsid w:val="006B140F"/>
    <w:rsid w:val="00727CF2"/>
    <w:rsid w:val="00845A6B"/>
    <w:rsid w:val="008A62F3"/>
    <w:rsid w:val="009118F2"/>
    <w:rsid w:val="00913731"/>
    <w:rsid w:val="009A369A"/>
    <w:rsid w:val="009C6804"/>
    <w:rsid w:val="009F4B79"/>
    <w:rsid w:val="00C3662D"/>
    <w:rsid w:val="00C940A5"/>
    <w:rsid w:val="00CB5113"/>
    <w:rsid w:val="00CD3BF9"/>
    <w:rsid w:val="00CE6A57"/>
    <w:rsid w:val="00D4116B"/>
    <w:rsid w:val="00E60F5B"/>
    <w:rsid w:val="00ED14BA"/>
    <w:rsid w:val="00F52552"/>
    <w:rsid w:val="00F64334"/>
    <w:rsid w:val="00F74CBE"/>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E749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itel">
    <w:name w:val="M_Titel"/>
    <w:basedOn w:val="Normal"/>
    <w:autoRedefine/>
    <w:rsid w:val="005B3F14"/>
    <w:pPr>
      <w:spacing w:before="240"/>
    </w:pPr>
    <w:rPr>
      <w:rFonts w:ascii="Times New Roman" w:eastAsia="Times New Roman" w:hAnsi="Times New Roman" w:cs="Times New Roman"/>
      <w:b/>
      <w:color w:val="000000"/>
      <w:sz w:val="36"/>
      <w:lang w:eastAsia="de-DE"/>
    </w:rPr>
  </w:style>
  <w:style w:type="paragraph" w:customStyle="1" w:styleId="Maddress">
    <w:name w:val="M_address"/>
    <w:basedOn w:val="Normal"/>
    <w:rsid w:val="005B3F14"/>
    <w:pPr>
      <w:spacing w:before="240" w:line="340" w:lineRule="atLeast"/>
    </w:pPr>
    <w:rPr>
      <w:rFonts w:ascii="Times New Roman" w:eastAsia="Times New Roman" w:hAnsi="Times New Roman" w:cs="Times New Roman"/>
      <w:color w:val="000000"/>
      <w:lang w:eastAsia="de-DE"/>
    </w:rPr>
  </w:style>
  <w:style w:type="paragraph" w:customStyle="1" w:styleId="Mauthor">
    <w:name w:val="M_author"/>
    <w:basedOn w:val="Normal"/>
    <w:autoRedefine/>
    <w:rsid w:val="005B3F14"/>
    <w:pPr>
      <w:spacing w:before="240" w:after="240" w:line="340" w:lineRule="atLeast"/>
    </w:pPr>
    <w:rPr>
      <w:rFonts w:ascii="Times New Roman" w:eastAsia="Times New Roman" w:hAnsi="Times New Roman" w:cs="Times New Roman"/>
      <w:b/>
      <w:color w:val="000000"/>
      <w:lang w:val="it-IT" w:eastAsia="de-DE"/>
    </w:rPr>
  </w:style>
  <w:style w:type="paragraph" w:styleId="BalloonText">
    <w:name w:val="Balloon Text"/>
    <w:basedOn w:val="Normal"/>
    <w:link w:val="BalloonTextChar"/>
    <w:rsid w:val="002D4C65"/>
    <w:rPr>
      <w:rFonts w:ascii="Lucida Grande" w:hAnsi="Lucida Grande"/>
      <w:sz w:val="18"/>
      <w:szCs w:val="18"/>
    </w:rPr>
  </w:style>
  <w:style w:type="character" w:customStyle="1" w:styleId="BalloonTextChar">
    <w:name w:val="Balloon Text Char"/>
    <w:basedOn w:val="DefaultParagraphFont"/>
    <w:link w:val="BalloonText"/>
    <w:rsid w:val="002D4C65"/>
    <w:rPr>
      <w:rFonts w:ascii="Lucida Grande" w:hAnsi="Lucida Grande"/>
      <w:sz w:val="18"/>
      <w:szCs w:val="18"/>
    </w:rPr>
  </w:style>
  <w:style w:type="paragraph" w:customStyle="1" w:styleId="MDPI-Abstract">
    <w:name w:val="MDPI-Abstract"/>
    <w:basedOn w:val="Normal"/>
    <w:qFormat/>
    <w:rsid w:val="00330625"/>
    <w:pPr>
      <w:adjustRightInd w:val="0"/>
      <w:snapToGrid w:val="0"/>
      <w:spacing w:before="240" w:line="340" w:lineRule="atLeast"/>
      <w:ind w:left="562" w:right="562"/>
      <w:jc w:val="both"/>
    </w:pPr>
    <w:rPr>
      <w:rFonts w:ascii="Times New Roman" w:eastAsia="Times New Roman" w:hAnsi="Times New Roman" w:cs="Times New Roman"/>
      <w:color w:val="000000"/>
      <w:szCs w:val="20"/>
      <w:lang w:eastAsia="de-DE"/>
    </w:rPr>
  </w:style>
  <w:style w:type="paragraph" w:customStyle="1" w:styleId="MDPI-Affiliation">
    <w:name w:val="MDPI-Affiliation"/>
    <w:basedOn w:val="NormalIndent"/>
    <w:qFormat/>
    <w:rsid w:val="00330625"/>
    <w:pPr>
      <w:adjustRightInd w:val="0"/>
      <w:snapToGrid w:val="0"/>
      <w:spacing w:before="240" w:line="340" w:lineRule="atLeast"/>
      <w:ind w:left="288" w:hanging="288"/>
    </w:pPr>
    <w:rPr>
      <w:rFonts w:ascii="Times New Roman" w:eastAsia="Times New Roman" w:hAnsi="Times New Roman" w:cs="Times New Roman"/>
      <w:szCs w:val="20"/>
      <w:lang w:eastAsia="de-DE"/>
    </w:rPr>
  </w:style>
  <w:style w:type="paragraph" w:styleId="NormalIndent">
    <w:name w:val="Normal Indent"/>
    <w:basedOn w:val="Normal"/>
    <w:rsid w:val="00330625"/>
    <w:pPr>
      <w:ind w:left="720"/>
    </w:pPr>
  </w:style>
  <w:style w:type="paragraph" w:customStyle="1" w:styleId="MDPI-FigureCaption">
    <w:name w:val="MDPI-Figure Caption"/>
    <w:basedOn w:val="Normal"/>
    <w:qFormat/>
    <w:rsid w:val="00330625"/>
    <w:pPr>
      <w:adjustRightInd w:val="0"/>
      <w:snapToGrid w:val="0"/>
      <w:spacing w:before="240" w:after="240" w:line="340" w:lineRule="atLeast"/>
      <w:ind w:left="562" w:right="562"/>
      <w:jc w:val="both"/>
    </w:pPr>
    <w:rPr>
      <w:rFonts w:ascii="Times New Roman" w:eastAsia="Times New Roman" w:hAnsi="Times New Roman" w:cs="Times New Roman"/>
      <w:color w:val="000000"/>
      <w:szCs w:val="20"/>
      <w:lang w:eastAsia="de-DE"/>
    </w:rPr>
  </w:style>
  <w:style w:type="paragraph" w:customStyle="1" w:styleId="MDPI-FirstLine">
    <w:name w:val="MDPI-First Line"/>
    <w:basedOn w:val="Normal"/>
    <w:qFormat/>
    <w:rsid w:val="00330625"/>
    <w:pPr>
      <w:spacing w:line="340" w:lineRule="atLeast"/>
    </w:pPr>
    <w:rPr>
      <w:rFonts w:ascii="Times New Roman" w:eastAsia="Times New Roman" w:hAnsi="Times New Roman" w:cs="Times New Roman"/>
      <w:i/>
      <w:color w:val="000000"/>
      <w:szCs w:val="20"/>
      <w:lang w:val="fr-CH" w:eastAsia="de-DE"/>
    </w:rPr>
  </w:style>
  <w:style w:type="paragraph" w:customStyle="1" w:styleId="MDPI-MainText">
    <w:name w:val="MDPI-Main Text"/>
    <w:basedOn w:val="Normal"/>
    <w:qFormat/>
    <w:rsid w:val="00330625"/>
    <w:pPr>
      <w:autoSpaceDE w:val="0"/>
      <w:autoSpaceDN w:val="0"/>
      <w:adjustRightInd w:val="0"/>
      <w:snapToGrid w:val="0"/>
      <w:spacing w:line="340" w:lineRule="atLeast"/>
      <w:ind w:firstLine="288"/>
      <w:jc w:val="both"/>
    </w:pPr>
    <w:rPr>
      <w:rFonts w:ascii="Times New Roman" w:eastAsia="Times New Roman" w:hAnsi="Times New Roman" w:cs="Times New Roman"/>
      <w:color w:val="000000"/>
      <w:szCs w:val="20"/>
      <w:lang w:eastAsia="de-DE"/>
    </w:rPr>
  </w:style>
  <w:style w:type="paragraph" w:customStyle="1" w:styleId="MDPI-SectionHeading">
    <w:name w:val="MDPI-Section Heading"/>
    <w:basedOn w:val="Normal"/>
    <w:qFormat/>
    <w:rsid w:val="00330625"/>
    <w:pPr>
      <w:adjustRightInd w:val="0"/>
      <w:snapToGrid w:val="0"/>
      <w:spacing w:before="240" w:after="240" w:line="340" w:lineRule="atLeast"/>
    </w:pPr>
    <w:rPr>
      <w:rFonts w:ascii="Times New Roman" w:eastAsia="Times New Roman" w:hAnsi="Times New Roman" w:cs="Times New Roman"/>
      <w:b/>
      <w:color w:val="000000"/>
      <w:szCs w:val="20"/>
      <w:lang w:eastAsia="de-DE"/>
    </w:rPr>
  </w:style>
  <w:style w:type="paragraph" w:customStyle="1" w:styleId="MDPI-SubsectionHeading">
    <w:name w:val="MDPI-Subsection Heading"/>
    <w:basedOn w:val="Normal"/>
    <w:qFormat/>
    <w:rsid w:val="00330625"/>
    <w:pPr>
      <w:adjustRightInd w:val="0"/>
      <w:snapToGrid w:val="0"/>
      <w:spacing w:before="240" w:after="240" w:line="340" w:lineRule="atLeast"/>
      <w:contextualSpacing/>
    </w:pPr>
    <w:rPr>
      <w:rFonts w:ascii="Times New Roman" w:eastAsia="Times New Roman" w:hAnsi="Times New Roman" w:cs="Times New Roman"/>
      <w:i/>
      <w:color w:val="000000"/>
      <w:szCs w:val="20"/>
      <w:lang w:eastAsia="de-DE"/>
    </w:rPr>
  </w:style>
  <w:style w:type="paragraph" w:customStyle="1" w:styleId="MDPI-TableHeading">
    <w:name w:val="MDPI-Table Heading"/>
    <w:basedOn w:val="Normal"/>
    <w:qFormat/>
    <w:rsid w:val="00330625"/>
    <w:pPr>
      <w:adjustRightInd w:val="0"/>
      <w:snapToGrid w:val="0"/>
      <w:spacing w:before="240" w:after="120" w:line="340" w:lineRule="atLeast"/>
      <w:ind w:left="562" w:right="562"/>
      <w:jc w:val="both"/>
    </w:pPr>
    <w:rPr>
      <w:rFonts w:ascii="Times New Roman" w:eastAsia="Times New Roman" w:hAnsi="Times New Roman" w:cs="Times New Roman"/>
      <w:bCs/>
      <w:color w:val="000000"/>
      <w:szCs w:val="20"/>
      <w:lang w:eastAsia="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261</Words>
  <Characters>1488</Characters>
  <Application>Microsoft Office Word</Application>
  <DocSecurity>0</DocSecurity>
  <Lines>12</Lines>
  <Paragraphs>3</Paragraphs>
  <ScaleCrop>false</ScaleCrop>
  <Company>GMI</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Quan</dc:creator>
  <cp:keywords/>
  <cp:lastModifiedBy>MDPI</cp:lastModifiedBy>
  <cp:revision>31</cp:revision>
  <dcterms:created xsi:type="dcterms:W3CDTF">2012-08-20T14:37:00Z</dcterms:created>
  <dcterms:modified xsi:type="dcterms:W3CDTF">2012-09-04T03:48:00Z</dcterms:modified>
</cp:coreProperties>
</file>