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C04" w:rsidRPr="00B65C3B" w:rsidRDefault="00B65C3B" w:rsidP="00976A6F">
      <w:pPr>
        <w:spacing w:after="240" w:line="340" w:lineRule="atLeast"/>
        <w:jc w:val="center"/>
        <w:rPr>
          <w:rFonts w:ascii="Times New Roman" w:hAnsi="Times New Roman" w:cs="Times New Roman"/>
          <w:b/>
          <w:sz w:val="36"/>
          <w:szCs w:val="36"/>
        </w:rPr>
      </w:pPr>
      <w:bookmarkStart w:id="0" w:name="_GoBack"/>
      <w:bookmarkEnd w:id="0"/>
      <w:r w:rsidRPr="00B65C3B">
        <w:rPr>
          <w:rFonts w:ascii="Times New Roman" w:hAnsi="Times New Roman" w:cs="Times New Roman"/>
          <w:b/>
          <w:sz w:val="36"/>
          <w:szCs w:val="36"/>
        </w:rPr>
        <w:t>Supplemental Data</w:t>
      </w:r>
    </w:p>
    <w:p w:rsidR="007025F4" w:rsidRPr="00B65C3B" w:rsidRDefault="001E797E" w:rsidP="00B65C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340" w:lineRule="atLeast"/>
        <w:outlineLvl w:val="0"/>
        <w:rPr>
          <w:rFonts w:ascii="Times New Roman" w:hAnsi="Times New Roman" w:cs="Times New Roman"/>
          <w:b/>
          <w:sz w:val="24"/>
          <w:szCs w:val="24"/>
        </w:rPr>
      </w:pPr>
      <w:r w:rsidRPr="00B65C3B">
        <w:rPr>
          <w:rFonts w:ascii="Times New Roman" w:hAnsi="Times New Roman" w:cs="Times New Roman"/>
          <w:b/>
          <w:sz w:val="24"/>
          <w:szCs w:val="24"/>
        </w:rPr>
        <w:t>1. Experimental Section</w:t>
      </w:r>
    </w:p>
    <w:p w:rsidR="007025F4" w:rsidRPr="00B65C3B" w:rsidRDefault="007025F4" w:rsidP="00B65C3B">
      <w:pPr>
        <w:spacing w:after="0" w:line="340" w:lineRule="atLeast"/>
        <w:ind w:firstLine="288"/>
        <w:jc w:val="both"/>
        <w:rPr>
          <w:rFonts w:ascii="Times New Roman" w:eastAsia="Arial" w:hAnsi="Times New Roman" w:cs="Times New Roman"/>
          <w:color w:val="000000"/>
          <w:sz w:val="24"/>
          <w:szCs w:val="24"/>
        </w:rPr>
      </w:pPr>
      <w:r w:rsidRPr="001E797E">
        <w:rPr>
          <w:rFonts w:ascii="Times New Roman" w:eastAsia="Arial" w:hAnsi="Times New Roman" w:cs="Times New Roman"/>
          <w:b/>
          <w:color w:val="000000"/>
          <w:sz w:val="24"/>
          <w:szCs w:val="24"/>
        </w:rPr>
        <w:t>Dietary oils</w:t>
      </w:r>
      <w:r w:rsidR="00976A6F">
        <w:rPr>
          <w:rFonts w:ascii="Times New Roman" w:hAnsi="Times New Roman" w:cs="Times New Roman" w:hint="eastAsia"/>
          <w:b/>
          <w:color w:val="000000"/>
          <w:sz w:val="24"/>
          <w:szCs w:val="24"/>
          <w:lang w:eastAsia="zh-CN"/>
        </w:rPr>
        <w:t>:</w:t>
      </w:r>
      <w:r w:rsidRPr="001E797E">
        <w:rPr>
          <w:rFonts w:ascii="Times New Roman" w:eastAsia="Arial" w:hAnsi="Times New Roman" w:cs="Times New Roman"/>
          <w:color w:val="000000"/>
          <w:sz w:val="24"/>
          <w:szCs w:val="24"/>
        </w:rPr>
        <w:t xml:space="preserve"> The seed oil of </w:t>
      </w:r>
      <w:proofErr w:type="spellStart"/>
      <w:r w:rsidRPr="001E797E">
        <w:rPr>
          <w:rFonts w:ascii="Times New Roman" w:eastAsia="Arial" w:hAnsi="Times New Roman" w:cs="Times New Roman"/>
          <w:i/>
          <w:iCs/>
          <w:color w:val="000000"/>
          <w:sz w:val="24"/>
          <w:szCs w:val="24"/>
        </w:rPr>
        <w:t>Echium</w:t>
      </w:r>
      <w:proofErr w:type="spellEnd"/>
      <w:r w:rsidRPr="001E797E">
        <w:rPr>
          <w:rFonts w:ascii="Times New Roman" w:eastAsia="Arial" w:hAnsi="Times New Roman" w:cs="Times New Roman"/>
          <w:i/>
          <w:iCs/>
          <w:color w:val="000000"/>
          <w:sz w:val="24"/>
          <w:szCs w:val="24"/>
        </w:rPr>
        <w:t xml:space="preserve"> </w:t>
      </w:r>
      <w:proofErr w:type="spellStart"/>
      <w:r w:rsidRPr="001E797E">
        <w:rPr>
          <w:rFonts w:ascii="Times New Roman" w:eastAsia="Arial" w:hAnsi="Times New Roman" w:cs="Times New Roman"/>
          <w:i/>
          <w:iCs/>
          <w:color w:val="000000"/>
          <w:sz w:val="24"/>
          <w:szCs w:val="24"/>
        </w:rPr>
        <w:t>plantagineum</w:t>
      </w:r>
      <w:proofErr w:type="spellEnd"/>
      <w:r w:rsidRPr="001E797E">
        <w:rPr>
          <w:rFonts w:ascii="Times New Roman" w:eastAsia="Arial" w:hAnsi="Times New Roman" w:cs="Times New Roman"/>
          <w:i/>
          <w:iCs/>
          <w:color w:val="000000"/>
          <w:sz w:val="24"/>
          <w:szCs w:val="24"/>
        </w:rPr>
        <w:t xml:space="preserve"> </w:t>
      </w:r>
      <w:r w:rsidRPr="001E797E">
        <w:rPr>
          <w:rFonts w:ascii="Times New Roman" w:eastAsia="Arial" w:hAnsi="Times New Roman" w:cs="Times New Roman"/>
          <w:color w:val="000000"/>
          <w:sz w:val="24"/>
          <w:szCs w:val="24"/>
        </w:rPr>
        <w:t xml:space="preserve">L., a member of the </w:t>
      </w:r>
      <w:proofErr w:type="spellStart"/>
      <w:r w:rsidRPr="001E797E">
        <w:rPr>
          <w:rFonts w:ascii="Times New Roman" w:eastAsia="Arial" w:hAnsi="Times New Roman" w:cs="Times New Roman"/>
          <w:color w:val="000000"/>
          <w:sz w:val="24"/>
          <w:szCs w:val="24"/>
        </w:rPr>
        <w:t>Boraginaceae</w:t>
      </w:r>
      <w:proofErr w:type="spellEnd"/>
      <w:r w:rsidRPr="001E797E">
        <w:rPr>
          <w:rFonts w:ascii="Times New Roman" w:eastAsia="Arial" w:hAnsi="Times New Roman" w:cs="Times New Roman"/>
          <w:color w:val="000000"/>
          <w:sz w:val="24"/>
          <w:szCs w:val="24"/>
        </w:rPr>
        <w:t xml:space="preserve"> family was a generous gift from </w:t>
      </w:r>
      <w:proofErr w:type="spellStart"/>
      <w:r w:rsidRPr="001E797E">
        <w:rPr>
          <w:rFonts w:ascii="Times New Roman" w:eastAsia="Arial" w:hAnsi="Times New Roman" w:cs="Times New Roman"/>
          <w:color w:val="000000"/>
          <w:sz w:val="24"/>
          <w:szCs w:val="24"/>
        </w:rPr>
        <w:t>Croda</w:t>
      </w:r>
      <w:proofErr w:type="spellEnd"/>
      <w:r w:rsidRPr="001E797E">
        <w:rPr>
          <w:rFonts w:ascii="Times New Roman" w:eastAsia="Arial" w:hAnsi="Times New Roman" w:cs="Times New Roman"/>
          <w:color w:val="000000"/>
          <w:sz w:val="24"/>
          <w:szCs w:val="24"/>
        </w:rPr>
        <w:t xml:space="preserve"> Europe Ltd. (Leek, Staffordshire, UK) and authenticated by the Wake Forest University Center for Botanical Lipids and I</w:t>
      </w:r>
      <w:r w:rsidR="00B65C3B">
        <w:rPr>
          <w:rFonts w:ascii="Times New Roman" w:eastAsia="Arial" w:hAnsi="Times New Roman" w:cs="Times New Roman"/>
          <w:color w:val="000000"/>
          <w:sz w:val="24"/>
          <w:szCs w:val="24"/>
        </w:rPr>
        <w:t xml:space="preserve">nflammatory Disease Prevention. </w:t>
      </w:r>
      <w:r w:rsidRPr="001E797E">
        <w:rPr>
          <w:rFonts w:ascii="Times New Roman" w:eastAsia="Arial" w:hAnsi="Times New Roman" w:cs="Times New Roman"/>
          <w:color w:val="000000"/>
          <w:sz w:val="24"/>
          <w:szCs w:val="24"/>
        </w:rPr>
        <w:t>A certificate of analysis is on file for reference along with retention samples deposited at the Wake Forest Scho</w:t>
      </w:r>
      <w:r w:rsidR="006D3799">
        <w:rPr>
          <w:rFonts w:ascii="Times New Roman" w:eastAsia="Arial" w:hAnsi="Times New Roman" w:cs="Times New Roman"/>
          <w:color w:val="000000"/>
          <w:sz w:val="24"/>
          <w:szCs w:val="24"/>
        </w:rPr>
        <w:t xml:space="preserve">ol of Medicine. </w:t>
      </w:r>
      <w:r w:rsidR="00B65C3B">
        <w:rPr>
          <w:rFonts w:ascii="Times New Roman" w:eastAsia="Arial" w:hAnsi="Times New Roman" w:cs="Times New Roman"/>
          <w:color w:val="000000"/>
          <w:sz w:val="24"/>
          <w:szCs w:val="24"/>
        </w:rPr>
        <w:t xml:space="preserve">The seed oil of </w:t>
      </w:r>
      <w:r w:rsidRPr="001E797E">
        <w:rPr>
          <w:rFonts w:ascii="Times New Roman" w:eastAsia="Arial" w:hAnsi="Times New Roman" w:cs="Times New Roman"/>
          <w:color w:val="000000"/>
          <w:sz w:val="24"/>
          <w:szCs w:val="24"/>
        </w:rPr>
        <w:t xml:space="preserve">palm, </w:t>
      </w:r>
      <w:proofErr w:type="spellStart"/>
      <w:r w:rsidRPr="001E797E">
        <w:rPr>
          <w:rFonts w:ascii="Times New Roman" w:eastAsia="Arial" w:hAnsi="Times New Roman" w:cs="Times New Roman"/>
          <w:i/>
          <w:iCs/>
          <w:color w:val="000000"/>
          <w:sz w:val="24"/>
          <w:szCs w:val="24"/>
        </w:rPr>
        <w:t>Elaeis</w:t>
      </w:r>
      <w:proofErr w:type="spellEnd"/>
      <w:r w:rsidRPr="001E797E">
        <w:rPr>
          <w:rFonts w:ascii="Times New Roman" w:eastAsia="Arial" w:hAnsi="Times New Roman" w:cs="Times New Roman"/>
          <w:i/>
          <w:iCs/>
          <w:color w:val="000000"/>
          <w:sz w:val="24"/>
          <w:szCs w:val="24"/>
        </w:rPr>
        <w:t xml:space="preserve"> </w:t>
      </w:r>
      <w:proofErr w:type="spellStart"/>
      <w:r w:rsidRPr="001E797E">
        <w:rPr>
          <w:rFonts w:ascii="Times New Roman" w:eastAsia="Arial" w:hAnsi="Times New Roman" w:cs="Times New Roman"/>
          <w:i/>
          <w:iCs/>
          <w:color w:val="000000"/>
          <w:sz w:val="24"/>
          <w:szCs w:val="24"/>
        </w:rPr>
        <w:t>guineensis</w:t>
      </w:r>
      <w:proofErr w:type="spellEnd"/>
      <w:r w:rsidRPr="001E797E">
        <w:rPr>
          <w:rFonts w:ascii="Times New Roman" w:eastAsia="Arial" w:hAnsi="Times New Roman" w:cs="Times New Roman"/>
          <w:i/>
          <w:iCs/>
          <w:color w:val="000000"/>
          <w:sz w:val="24"/>
          <w:szCs w:val="24"/>
        </w:rPr>
        <w:t xml:space="preserve"> </w:t>
      </w:r>
      <w:proofErr w:type="spellStart"/>
      <w:proofErr w:type="gramStart"/>
      <w:r w:rsidRPr="001E797E">
        <w:rPr>
          <w:rFonts w:ascii="Times New Roman" w:eastAsia="Arial" w:hAnsi="Times New Roman" w:cs="Times New Roman"/>
          <w:color w:val="000000"/>
          <w:sz w:val="24"/>
          <w:szCs w:val="24"/>
        </w:rPr>
        <w:t>Jacq</w:t>
      </w:r>
      <w:proofErr w:type="spellEnd"/>
      <w:r w:rsidRPr="001E797E">
        <w:rPr>
          <w:rFonts w:ascii="Times New Roman" w:eastAsia="Arial" w:hAnsi="Times New Roman" w:cs="Times New Roman"/>
          <w:i/>
          <w:iCs/>
          <w:color w:val="000000"/>
          <w:sz w:val="24"/>
          <w:szCs w:val="24"/>
        </w:rPr>
        <w:t>.</w:t>
      </w:r>
      <w:r w:rsidRPr="006D3799">
        <w:rPr>
          <w:rFonts w:ascii="Times New Roman" w:eastAsia="Arial" w:hAnsi="Times New Roman" w:cs="Times New Roman"/>
          <w:iCs/>
          <w:color w:val="000000"/>
          <w:sz w:val="24"/>
          <w:szCs w:val="24"/>
        </w:rPr>
        <w:t>,</w:t>
      </w:r>
      <w:proofErr w:type="gramEnd"/>
      <w:r w:rsidRPr="001E797E">
        <w:rPr>
          <w:rFonts w:ascii="Times New Roman" w:eastAsia="Arial" w:hAnsi="Times New Roman" w:cs="Times New Roman"/>
          <w:color w:val="000000"/>
          <w:sz w:val="24"/>
          <w:szCs w:val="24"/>
        </w:rPr>
        <w:t xml:space="preserve"> a member of the </w:t>
      </w:r>
      <w:proofErr w:type="spellStart"/>
      <w:r w:rsidRPr="001E797E">
        <w:rPr>
          <w:rFonts w:ascii="Times New Roman" w:eastAsia="Arial" w:hAnsi="Times New Roman" w:cs="Times New Roman"/>
          <w:color w:val="000000"/>
          <w:sz w:val="24"/>
          <w:szCs w:val="24"/>
        </w:rPr>
        <w:t>Arecaceae</w:t>
      </w:r>
      <w:proofErr w:type="spellEnd"/>
      <w:r w:rsidRPr="001E797E">
        <w:rPr>
          <w:rFonts w:ascii="Times New Roman" w:eastAsia="Arial" w:hAnsi="Times New Roman" w:cs="Times New Roman"/>
          <w:color w:val="000000"/>
          <w:sz w:val="24"/>
          <w:szCs w:val="24"/>
        </w:rPr>
        <w:t xml:space="preserve"> family, was purchased from Shay and Company (Portland, OR, USA). A</w:t>
      </w:r>
      <w:r w:rsidR="00B65C3B">
        <w:rPr>
          <w:rFonts w:ascii="Times New Roman" w:eastAsia="Arial" w:hAnsi="Times New Roman" w:cs="Times New Roman"/>
          <w:color w:val="000000"/>
          <w:sz w:val="24"/>
          <w:szCs w:val="24"/>
        </w:rPr>
        <w:t xml:space="preserve"> </w:t>
      </w:r>
      <w:r w:rsidRPr="001E797E">
        <w:rPr>
          <w:rFonts w:ascii="Times New Roman" w:eastAsia="Arial" w:hAnsi="Times New Roman" w:cs="Times New Roman"/>
          <w:color w:val="000000"/>
          <w:sz w:val="24"/>
          <w:szCs w:val="24"/>
        </w:rPr>
        <w:t>certificate of ana</w:t>
      </w:r>
      <w:r w:rsidR="00B65C3B">
        <w:rPr>
          <w:rFonts w:ascii="Times New Roman" w:eastAsia="Arial" w:hAnsi="Times New Roman" w:cs="Times New Roman"/>
          <w:color w:val="000000"/>
          <w:sz w:val="24"/>
          <w:szCs w:val="24"/>
        </w:rPr>
        <w:t xml:space="preserve">lysis is on file for reference. The fish oil </w:t>
      </w:r>
      <w:r w:rsidRPr="001E797E">
        <w:rPr>
          <w:rFonts w:ascii="Times New Roman" w:eastAsia="Arial" w:hAnsi="Times New Roman" w:cs="Times New Roman"/>
          <w:color w:val="000000"/>
          <w:sz w:val="24"/>
          <w:szCs w:val="24"/>
        </w:rPr>
        <w:t xml:space="preserve">source was </w:t>
      </w:r>
      <w:proofErr w:type="spellStart"/>
      <w:r w:rsidRPr="001E797E">
        <w:rPr>
          <w:rFonts w:ascii="Times New Roman" w:eastAsia="Arial" w:hAnsi="Times New Roman" w:cs="Times New Roman"/>
          <w:i/>
          <w:iCs/>
          <w:color w:val="000000"/>
          <w:sz w:val="24"/>
          <w:szCs w:val="24"/>
        </w:rPr>
        <w:t>Brevoortia</w:t>
      </w:r>
      <w:proofErr w:type="spellEnd"/>
      <w:r w:rsidRPr="001E797E">
        <w:rPr>
          <w:rFonts w:ascii="Times New Roman" w:eastAsia="Arial" w:hAnsi="Times New Roman" w:cs="Times New Roman"/>
          <w:i/>
          <w:iCs/>
          <w:color w:val="000000"/>
          <w:sz w:val="24"/>
          <w:szCs w:val="24"/>
        </w:rPr>
        <w:t xml:space="preserve"> </w:t>
      </w:r>
      <w:proofErr w:type="spellStart"/>
      <w:r w:rsidRPr="001E797E">
        <w:rPr>
          <w:rFonts w:ascii="Times New Roman" w:eastAsia="Arial" w:hAnsi="Times New Roman" w:cs="Times New Roman"/>
          <w:i/>
          <w:iCs/>
          <w:color w:val="000000"/>
          <w:sz w:val="24"/>
          <w:szCs w:val="24"/>
        </w:rPr>
        <w:t>tyrannis</w:t>
      </w:r>
      <w:proofErr w:type="spellEnd"/>
      <w:r w:rsidRPr="001E797E">
        <w:rPr>
          <w:rFonts w:ascii="Times New Roman" w:eastAsia="Arial" w:hAnsi="Times New Roman" w:cs="Times New Roman"/>
          <w:color w:val="000000"/>
          <w:sz w:val="24"/>
          <w:szCs w:val="24"/>
        </w:rPr>
        <w:t xml:space="preserve"> Latrobe, a member of the </w:t>
      </w:r>
      <w:proofErr w:type="spellStart"/>
      <w:r w:rsidRPr="001E797E">
        <w:rPr>
          <w:rFonts w:ascii="Times New Roman" w:eastAsia="Arial" w:hAnsi="Times New Roman" w:cs="Times New Roman"/>
          <w:color w:val="000000"/>
          <w:sz w:val="24"/>
          <w:szCs w:val="24"/>
        </w:rPr>
        <w:t>Clupeidae</w:t>
      </w:r>
      <w:proofErr w:type="spellEnd"/>
      <w:r w:rsidRPr="001E797E">
        <w:rPr>
          <w:rFonts w:ascii="Times New Roman" w:eastAsia="Arial" w:hAnsi="Times New Roman" w:cs="Times New Roman"/>
          <w:color w:val="000000"/>
          <w:sz w:val="24"/>
          <w:szCs w:val="24"/>
        </w:rPr>
        <w:t xml:space="preserve"> family, was manufactured and generously provided by Omega Protein (Reidsville, VA, USA) with a</w:t>
      </w:r>
      <w:r w:rsidR="00B65C3B">
        <w:rPr>
          <w:rFonts w:ascii="Times New Roman" w:eastAsia="Arial" w:hAnsi="Times New Roman" w:cs="Times New Roman"/>
          <w:color w:val="000000"/>
          <w:sz w:val="24"/>
          <w:szCs w:val="24"/>
        </w:rPr>
        <w:t xml:space="preserve"> </w:t>
      </w:r>
      <w:r w:rsidR="00625310">
        <w:rPr>
          <w:rFonts w:ascii="Times New Roman" w:eastAsia="Arial" w:hAnsi="Times New Roman" w:cs="Times New Roman"/>
          <w:color w:val="000000"/>
          <w:sz w:val="24"/>
          <w:szCs w:val="24"/>
        </w:rPr>
        <w:t xml:space="preserve">report of analysis </w:t>
      </w:r>
      <w:r w:rsidRPr="001E797E">
        <w:rPr>
          <w:rFonts w:ascii="Times New Roman" w:eastAsia="Arial" w:hAnsi="Times New Roman" w:cs="Times New Roman"/>
          <w:color w:val="000000"/>
          <w:sz w:val="24"/>
          <w:szCs w:val="24"/>
        </w:rPr>
        <w:t>on file for reference.</w:t>
      </w:r>
    </w:p>
    <w:p w:rsidR="00B65C3B" w:rsidRDefault="00B65C3B" w:rsidP="00B65C3B">
      <w:pPr>
        <w:spacing w:before="240" w:after="240" w:line="340" w:lineRule="atLeast"/>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00954B72" w:rsidRPr="001E797E">
        <w:rPr>
          <w:rFonts w:ascii="Times New Roman" w:eastAsia="Times New Roman" w:hAnsi="Times New Roman" w:cs="Times New Roman"/>
          <w:b/>
          <w:sz w:val="24"/>
          <w:szCs w:val="24"/>
        </w:rPr>
        <w:t>Supplemental Fig</w:t>
      </w:r>
      <w:r w:rsidR="001E797E" w:rsidRPr="001E797E">
        <w:rPr>
          <w:rFonts w:ascii="Times New Roman" w:eastAsia="Times New Roman" w:hAnsi="Times New Roman" w:cs="Times New Roman"/>
          <w:b/>
          <w:sz w:val="24"/>
          <w:szCs w:val="24"/>
        </w:rPr>
        <w:t>ure</w:t>
      </w:r>
    </w:p>
    <w:p w:rsidR="00954B72" w:rsidRDefault="00B65C3B" w:rsidP="00B65C3B">
      <w:pPr>
        <w:spacing w:after="240" w:line="340" w:lineRule="atLeast"/>
        <w:ind w:left="562" w:right="56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w:t>
      </w:r>
      <w:r w:rsidR="00954B72" w:rsidRPr="001E797E">
        <w:rPr>
          <w:rFonts w:ascii="Times New Roman" w:eastAsia="Times New Roman" w:hAnsi="Times New Roman" w:cs="Times New Roman"/>
          <w:b/>
          <w:sz w:val="24"/>
          <w:szCs w:val="24"/>
        </w:rPr>
        <w:t>1.</w:t>
      </w:r>
      <w:r w:rsidR="00954B72" w:rsidRPr="00B65C3B">
        <w:rPr>
          <w:rFonts w:ascii="Times New Roman" w:eastAsia="Times New Roman" w:hAnsi="Times New Roman" w:cs="Times New Roman"/>
          <w:sz w:val="24"/>
          <w:szCs w:val="24"/>
        </w:rPr>
        <w:t xml:space="preserve"> </w:t>
      </w:r>
      <w:proofErr w:type="gramStart"/>
      <w:r w:rsidR="00954B72" w:rsidRPr="00976A6F">
        <w:rPr>
          <w:rFonts w:ascii="Times New Roman" w:eastAsia="Times New Roman" w:hAnsi="Times New Roman" w:cs="Times New Roman"/>
          <w:sz w:val="24"/>
          <w:szCs w:val="24"/>
        </w:rPr>
        <w:t>Fatty acid composition of plasma lipids.</w:t>
      </w:r>
      <w:proofErr w:type="gramEnd"/>
      <w:r w:rsidR="00954B72" w:rsidRPr="001E797E">
        <w:rPr>
          <w:rFonts w:ascii="Times New Roman" w:eastAsia="Times New Roman" w:hAnsi="Times New Roman" w:cs="Times New Roman"/>
          <w:sz w:val="24"/>
          <w:szCs w:val="24"/>
        </w:rPr>
        <w:t xml:space="preserve"> After 16 weeks of PO, EO, or FO experimental diet feeding, plasma was collected for measurement of PL, TG, and CE fatty acid composition. Lipids from plasma were extracted using the Bligh-Dyer method and separated into PL, TG, and CE bands by thin layer chromatography. The bands were visualized with </w:t>
      </w:r>
      <w:proofErr w:type="spellStart"/>
      <w:r w:rsidR="00954B72" w:rsidRPr="001E797E">
        <w:rPr>
          <w:rFonts w:ascii="Times New Roman" w:eastAsia="Times New Roman" w:hAnsi="Times New Roman" w:cs="Times New Roman"/>
          <w:sz w:val="24"/>
          <w:szCs w:val="24"/>
        </w:rPr>
        <w:t>primuline</w:t>
      </w:r>
      <w:proofErr w:type="spellEnd"/>
      <w:r w:rsidR="00954B72" w:rsidRPr="001E797E">
        <w:rPr>
          <w:rFonts w:ascii="Times New Roman" w:eastAsia="Times New Roman" w:hAnsi="Times New Roman" w:cs="Times New Roman"/>
          <w:sz w:val="24"/>
          <w:szCs w:val="24"/>
        </w:rPr>
        <w:t xml:space="preserve"> and collected, after which fatty acids were </w:t>
      </w:r>
      <w:proofErr w:type="spellStart"/>
      <w:r w:rsidR="00954B72" w:rsidRPr="001E797E">
        <w:rPr>
          <w:rFonts w:ascii="Times New Roman" w:eastAsia="Times New Roman" w:hAnsi="Times New Roman" w:cs="Times New Roman"/>
          <w:sz w:val="24"/>
          <w:szCs w:val="24"/>
        </w:rPr>
        <w:t>transmethylated</w:t>
      </w:r>
      <w:proofErr w:type="spellEnd"/>
      <w:r w:rsidR="00954B72" w:rsidRPr="001E797E">
        <w:rPr>
          <w:rFonts w:ascii="Times New Roman" w:eastAsia="Times New Roman" w:hAnsi="Times New Roman" w:cs="Times New Roman"/>
          <w:sz w:val="24"/>
          <w:szCs w:val="24"/>
        </w:rPr>
        <w:t xml:space="preserve"> and analyzed for fatty acid distribution by gas-liquid chromatography as described in the Materials and Methods section. Data represent mean ± S.E.M.; </w:t>
      </w:r>
      <w:r w:rsidR="00954B72" w:rsidRPr="00B65C3B">
        <w:rPr>
          <w:rFonts w:ascii="Times New Roman" w:eastAsia="Times New Roman" w:hAnsi="Times New Roman" w:cs="Times New Roman"/>
          <w:i/>
          <w:sz w:val="24"/>
          <w:szCs w:val="24"/>
        </w:rPr>
        <w:t>n</w:t>
      </w:r>
      <w:r>
        <w:rPr>
          <w:rFonts w:ascii="Times New Roman" w:eastAsia="Times New Roman" w:hAnsi="Times New Roman" w:cs="Times New Roman"/>
          <w:sz w:val="24"/>
          <w:szCs w:val="24"/>
        </w:rPr>
        <w:t xml:space="preserve"> </w:t>
      </w:r>
      <w:r w:rsidR="00954B72" w:rsidRPr="001E797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54B72" w:rsidRPr="001E797E">
        <w:rPr>
          <w:rFonts w:ascii="Times New Roman" w:eastAsia="Times New Roman" w:hAnsi="Times New Roman" w:cs="Times New Roman"/>
          <w:sz w:val="24"/>
          <w:szCs w:val="24"/>
        </w:rPr>
        <w:t>5 for each group. Values with different letters are significantly different (</w:t>
      </w:r>
      <w:r w:rsidR="00954B72" w:rsidRPr="00B65C3B">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w:t>
      </w:r>
      <w:r w:rsidR="00954B72" w:rsidRPr="001E797E">
        <w:rPr>
          <w:rFonts w:ascii="Times New Roman" w:eastAsia="Times New Roman" w:hAnsi="Times New Roman" w:cs="Times New Roman"/>
          <w:sz w:val="24"/>
          <w:szCs w:val="24"/>
        </w:rPr>
        <w:t>&lt;</w:t>
      </w:r>
      <w:r>
        <w:rPr>
          <w:rFonts w:ascii="Times New Roman" w:eastAsia="Times New Roman" w:hAnsi="Times New Roman" w:cs="Times New Roman"/>
          <w:sz w:val="24"/>
          <w:szCs w:val="24"/>
        </w:rPr>
        <w:t xml:space="preserve"> </w:t>
      </w:r>
      <w:r w:rsidR="00954B72" w:rsidRPr="001E797E">
        <w:rPr>
          <w:rFonts w:ascii="Times New Roman" w:eastAsia="Times New Roman" w:hAnsi="Times New Roman" w:cs="Times New Roman"/>
          <w:sz w:val="24"/>
          <w:szCs w:val="24"/>
        </w:rPr>
        <w:t>0.05) by ANOVA; data bars not marked with letters were not significantly different. The figure only shows</w:t>
      </w:r>
      <w:r>
        <w:rPr>
          <w:rFonts w:ascii="Times New Roman" w:eastAsia="Times New Roman" w:hAnsi="Times New Roman" w:cs="Times New Roman"/>
          <w:sz w:val="24"/>
          <w:szCs w:val="24"/>
        </w:rPr>
        <w:t xml:space="preserve"> polyunsaturated fatty acids (≥</w:t>
      </w:r>
      <w:r w:rsidR="00954B72" w:rsidRPr="001E797E">
        <w:rPr>
          <w:rFonts w:ascii="Times New Roman" w:eastAsia="Times New Roman" w:hAnsi="Times New Roman" w:cs="Times New Roman"/>
          <w:sz w:val="24"/>
          <w:szCs w:val="24"/>
        </w:rPr>
        <w:t>2 double bonds).</w:t>
      </w:r>
    </w:p>
    <w:p w:rsidR="00B65C3B" w:rsidRDefault="00B65C3B" w:rsidP="00B65C3B">
      <w:pPr>
        <w:spacing w:after="0" w:line="340" w:lineRule="atLeast"/>
        <w:jc w:val="center"/>
        <w:rPr>
          <w:rFonts w:ascii="Times New Roman" w:eastAsia="Times New Roman" w:hAnsi="Times New Roman" w:cs="Times New Roman"/>
          <w:b/>
          <w:sz w:val="24"/>
          <w:szCs w:val="24"/>
        </w:rPr>
      </w:pPr>
      <w:r w:rsidRPr="00B65C3B">
        <w:rPr>
          <w:rFonts w:ascii="Times New Roman" w:eastAsia="Times New Roman" w:hAnsi="Times New Roman" w:cs="Times New Roman"/>
          <w:b/>
          <w:noProof/>
          <w:sz w:val="24"/>
          <w:szCs w:val="24"/>
        </w:rPr>
        <w:drawing>
          <wp:inline distT="0" distB="0" distL="0" distR="0">
            <wp:extent cx="6455121" cy="1828800"/>
            <wp:effectExtent l="1905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 cstate="print"/>
                    <a:srcRect l="926" t="2382" r="536" b="2735"/>
                    <a:stretch>
                      <a:fillRect/>
                    </a:stretch>
                  </pic:blipFill>
                  <pic:spPr bwMode="auto">
                    <a:xfrm>
                      <a:off x="0" y="0"/>
                      <a:ext cx="6455121" cy="1828800"/>
                    </a:xfrm>
                    <a:prstGeom prst="rect">
                      <a:avLst/>
                    </a:prstGeom>
                    <a:noFill/>
                    <a:ln w="9525">
                      <a:noFill/>
                      <a:miter lim="800000"/>
                      <a:headEnd/>
                      <a:tailEnd/>
                    </a:ln>
                    <a:effectLst/>
                  </pic:spPr>
                </pic:pic>
              </a:graphicData>
            </a:graphic>
          </wp:inline>
        </w:drawing>
      </w:r>
    </w:p>
    <w:p w:rsidR="00B65C3B" w:rsidRPr="00830394" w:rsidRDefault="00B65C3B" w:rsidP="00B65C3B">
      <w:pPr>
        <w:spacing w:before="240" w:after="0" w:line="340" w:lineRule="atLeast"/>
        <w:jc w:val="both"/>
        <w:rPr>
          <w:rFonts w:ascii="Times New Roman" w:hAnsi="Times New Roman" w:cs="Times New Roman"/>
          <w:sz w:val="24"/>
          <w:szCs w:val="24"/>
        </w:rPr>
      </w:pPr>
      <w:proofErr w:type="gramStart"/>
      <w:r w:rsidRPr="00830394">
        <w:rPr>
          <w:rFonts w:ascii="Times New Roman" w:hAnsi="Times New Roman" w:cs="Times New Roman"/>
          <w:sz w:val="24"/>
          <w:szCs w:val="24"/>
        </w:rPr>
        <w:t>© 201</w:t>
      </w:r>
      <w:r>
        <w:rPr>
          <w:rFonts w:ascii="Times New Roman" w:hAnsi="Times New Roman" w:cs="Times New Roman"/>
          <w:sz w:val="24"/>
          <w:szCs w:val="24"/>
        </w:rPr>
        <w:t>3</w:t>
      </w:r>
      <w:r w:rsidRPr="00830394">
        <w:rPr>
          <w:rFonts w:ascii="Times New Roman" w:hAnsi="Times New Roman" w:cs="Times New Roman"/>
          <w:sz w:val="24"/>
          <w:szCs w:val="24"/>
        </w:rPr>
        <w:t xml:space="preserve"> by the authors; licensee MDPI, Basel, Switzerland.</w:t>
      </w:r>
      <w:proofErr w:type="gramEnd"/>
      <w:r w:rsidRPr="00830394">
        <w:rPr>
          <w:rFonts w:ascii="Times New Roman" w:hAnsi="Times New Roman" w:cs="Times New Roman"/>
          <w:sz w:val="24"/>
          <w:szCs w:val="24"/>
        </w:rPr>
        <w:t xml:space="preserve"> This article is an open access article distributed under the terms and conditions of the Creative Commons Attribution license (http://creativecommons.org/licenses/by/3.0/).</w:t>
      </w:r>
    </w:p>
    <w:sectPr w:rsidR="00B65C3B" w:rsidRPr="00830394" w:rsidSect="00B65C3B">
      <w:pgSz w:w="12240" w:h="15840"/>
      <w:pgMar w:top="994" w:right="994" w:bottom="994" w:left="994" w:header="850" w:footer="562"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useFELayout/>
  </w:compat>
  <w:rsids>
    <w:rsidRoot w:val="00216C04"/>
    <w:rsid w:val="000643F8"/>
    <w:rsid w:val="00155D3A"/>
    <w:rsid w:val="001E797E"/>
    <w:rsid w:val="00216C04"/>
    <w:rsid w:val="00417148"/>
    <w:rsid w:val="005A2B33"/>
    <w:rsid w:val="00625310"/>
    <w:rsid w:val="00665D3B"/>
    <w:rsid w:val="006D3799"/>
    <w:rsid w:val="007025F4"/>
    <w:rsid w:val="00720CBA"/>
    <w:rsid w:val="007908A7"/>
    <w:rsid w:val="00954B72"/>
    <w:rsid w:val="00976A6F"/>
    <w:rsid w:val="00A7527B"/>
    <w:rsid w:val="00B65C3B"/>
    <w:rsid w:val="00BC617A"/>
    <w:rsid w:val="00C206BB"/>
    <w:rsid w:val="00C46049"/>
    <w:rsid w:val="00C61757"/>
    <w:rsid w:val="00DD3BF1"/>
    <w:rsid w:val="00E7484B"/>
    <w:rsid w:val="00E900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0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6C04"/>
    <w:rPr>
      <w:color w:val="0000FF" w:themeColor="hyperlink"/>
      <w:u w:val="single"/>
    </w:rPr>
  </w:style>
  <w:style w:type="paragraph" w:styleId="NormalWeb">
    <w:name w:val="Normal (Web)"/>
    <w:basedOn w:val="Normal"/>
    <w:uiPriority w:val="99"/>
    <w:semiHidden/>
    <w:unhideWhenUsed/>
    <w:rsid w:val="005A2B33"/>
    <w:pPr>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65C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C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6C04"/>
    <w:rPr>
      <w:color w:val="0000FF" w:themeColor="hyperlink"/>
      <w:u w:val="single"/>
    </w:rPr>
  </w:style>
  <w:style w:type="paragraph" w:styleId="NormalWeb">
    <w:name w:val="Normal (Web)"/>
    <w:basedOn w:val="Normal"/>
    <w:uiPriority w:val="99"/>
    <w:semiHidden/>
    <w:unhideWhenUsed/>
    <w:rsid w:val="005A2B33"/>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B65C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C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176068">
      <w:bodyDiv w:val="1"/>
      <w:marLeft w:val="0"/>
      <w:marRight w:val="0"/>
      <w:marTop w:val="0"/>
      <w:marBottom w:val="0"/>
      <w:divBdr>
        <w:top w:val="none" w:sz="0" w:space="0" w:color="auto"/>
        <w:left w:val="none" w:sz="0" w:space="0" w:color="auto"/>
        <w:bottom w:val="none" w:sz="0" w:space="0" w:color="auto"/>
        <w:right w:val="none" w:sz="0" w:space="0" w:color="auto"/>
      </w:divBdr>
    </w:div>
    <w:div w:id="560360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WFUHS</Company>
  <LinksUpToDate>false</LinksUpToDate>
  <CharactersWithSpaces>1914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Parks</dc:creator>
  <cp:lastModifiedBy>mdpi</cp:lastModifiedBy>
  <cp:revision>5</cp:revision>
  <cp:lastPrinted>2012-11-19T17:48:00Z</cp:lastPrinted>
  <dcterms:created xsi:type="dcterms:W3CDTF">2013-07-02T11:18:00Z</dcterms:created>
  <dcterms:modified xsi:type="dcterms:W3CDTF">2013-07-09T08:47:00Z</dcterms:modified>
</cp:coreProperties>
</file>